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rFonts w:ascii="SimSun" w:hAnsi="SimSun" w:eastAsia="SimSun" w:cs="SimSun"/>
          <w:b/>
          <w:color w:val="000000"/>
          <w:spacing w:val="170"/>
          <w:sz w:val="84"/>
        </w:rPr>
        <w:t xml:space="preserve">竞争性磋商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70"/>
          <w:sz w:val="84"/>
        </w:rPr>
        <w:t xml:space="preserve">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8"/>
        </w:rPr>
        <w:t xml:space="preserve">服务类</w:t>
      </w:r>
      <w:r>
        <w:rPr>
          <w:rFonts w:ascii="SimSun" w:hAnsi="SimSun" w:eastAsia="SimSun" w:cs="SimSun"/>
          <w:color w:val="000000"/>
          <w:sz w:val="2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项目名称：西夏墅镇全域土地综合整治方案编制项目</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项目编号：JSZC-320411005-CZWC-C2026-0007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人：常州市新北区西夏墅镇人民政府</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采购代理机构：常州沃成招标有限公司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2026年4月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4818925" w:history="1">
        <w:r>
          <w:rPr>
            <w:rStyle w:val="818"/>
            <w:rFonts w:ascii="SimSun" w:hAnsi="SimSun" w:eastAsia="SimSun" w:cs="SimSun"/>
            <w:color w:val="0000ee"/>
            <w:sz w:val="24"/>
            <w:u w:val="single"/>
          </w:rPr>
          <w:t xml:space="preserve">第一章</w:t>
        </w:r>
        <w:r>
          <w:rPr>
            <w:rStyle w:val="818"/>
            <w:rFonts w:ascii="Times New Roman" w:hAnsi="Times New Roman" w:eastAsia="Times New Roman" w:cs="Times New Roman"/>
            <w:color w:val="0000ee"/>
            <w:sz w:val="24"/>
            <w:u w:val="single"/>
          </w:rPr>
          <w:t xml:space="preserve">   </w:t>
        </w:r>
        <w:r>
          <w:rPr>
            <w:rStyle w:val="818"/>
            <w:rFonts w:ascii="SimSun" w:hAnsi="SimSun" w:eastAsia="SimSun" w:cs="SimSun"/>
            <w:color w:val="0000ee"/>
            <w:sz w:val="24"/>
            <w:u w:val="single"/>
          </w:rPr>
          <w:t xml:space="preserve">采购邀请</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4818926" w:history="1">
        <w:r>
          <w:rPr>
            <w:rStyle w:val="818"/>
            <w:rFonts w:ascii="SimSun" w:hAnsi="SimSun" w:eastAsia="SimSun" w:cs="SimSun"/>
            <w:color w:val="0000ee"/>
            <w:sz w:val="24"/>
            <w:u w:val="single"/>
          </w:rPr>
          <w:t xml:space="preserve">第二章</w:t>
        </w:r>
        <w:r>
          <w:rPr>
            <w:rStyle w:val="818"/>
            <w:rFonts w:ascii="Times New Roman" w:hAnsi="Times New Roman" w:eastAsia="Times New Roman" w:cs="Times New Roman"/>
            <w:color w:val="0000ee"/>
            <w:sz w:val="24"/>
            <w:u w:val="single"/>
          </w:rPr>
          <w:t xml:space="preserve">   </w:t>
        </w:r>
        <w:r>
          <w:rPr>
            <w:rStyle w:val="818"/>
            <w:rFonts w:ascii="SimSun" w:hAnsi="SimSun" w:eastAsia="SimSun" w:cs="SimSun"/>
            <w:color w:val="0000ee"/>
            <w:sz w:val="24"/>
            <w:u w:val="single"/>
          </w:rPr>
          <w:t xml:space="preserve">供应商须知</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4818927" w:history="1">
        <w:r>
          <w:rPr>
            <w:rStyle w:val="818"/>
            <w:rFonts w:ascii="SimSun" w:hAnsi="SimSun" w:eastAsia="SimSun" w:cs="SimSun"/>
            <w:color w:val="0000ee"/>
            <w:sz w:val="24"/>
            <w:u w:val="single"/>
          </w:rPr>
          <w:t xml:space="preserve">第三章</w:t>
        </w:r>
        <w:r>
          <w:rPr>
            <w:rStyle w:val="818"/>
            <w:rFonts w:ascii="Times New Roman" w:hAnsi="Times New Roman" w:eastAsia="Times New Roman" w:cs="Times New Roman"/>
            <w:color w:val="0000ee"/>
            <w:sz w:val="24"/>
            <w:u w:val="single"/>
          </w:rPr>
          <w:t xml:space="preserve">   </w:t>
        </w:r>
        <w:r>
          <w:rPr>
            <w:rStyle w:val="818"/>
            <w:rFonts w:ascii="SimSun" w:hAnsi="SimSun" w:eastAsia="SimSun" w:cs="SimSun"/>
            <w:color w:val="0000ee"/>
            <w:sz w:val="24"/>
            <w:u w:val="single"/>
          </w:rPr>
          <w:t xml:space="preserve">评审程序、评审方法和评审标准</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4818928" w:history="1">
        <w:r>
          <w:rPr>
            <w:rStyle w:val="818"/>
            <w:rFonts w:ascii="SimSun" w:hAnsi="SimSun" w:eastAsia="SimSun" w:cs="SimSun"/>
            <w:color w:val="0000ee"/>
            <w:sz w:val="24"/>
            <w:u w:val="single"/>
          </w:rPr>
          <w:t xml:space="preserve">第四章</w:t>
        </w:r>
        <w:r>
          <w:rPr>
            <w:rStyle w:val="818"/>
            <w:rFonts w:ascii="Times New Roman" w:hAnsi="Times New Roman" w:eastAsia="Times New Roman" w:cs="Times New Roman"/>
            <w:color w:val="0000ee"/>
            <w:sz w:val="24"/>
            <w:u w:val="single"/>
          </w:rPr>
          <w:t xml:space="preserve">   </w:t>
        </w:r>
        <w:r>
          <w:rPr>
            <w:rStyle w:val="818"/>
            <w:rFonts w:ascii="SimSun" w:hAnsi="SimSun" w:eastAsia="SimSun" w:cs="SimSun"/>
            <w:color w:val="0000ee"/>
            <w:sz w:val="24"/>
            <w:u w:val="single"/>
          </w:rPr>
          <w:t xml:space="preserve">采购需求</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4818929" w:history="1">
        <w:r>
          <w:rPr>
            <w:rStyle w:val="818"/>
            <w:rFonts w:ascii="SimSun" w:hAnsi="SimSun" w:eastAsia="SimSun" w:cs="SimSun"/>
            <w:color w:val="0000ee"/>
            <w:sz w:val="24"/>
            <w:u w:val="single"/>
          </w:rPr>
          <w:t xml:space="preserve">第五章</w:t>
        </w:r>
        <w:r>
          <w:rPr>
            <w:rStyle w:val="818"/>
            <w:rFonts w:ascii="Times New Roman" w:hAnsi="Times New Roman" w:eastAsia="Times New Roman" w:cs="Times New Roman"/>
            <w:color w:val="0000ee"/>
            <w:sz w:val="24"/>
            <w:u w:val="single"/>
          </w:rPr>
          <w:t xml:space="preserve">   </w:t>
        </w:r>
        <w:r>
          <w:rPr>
            <w:rStyle w:val="818"/>
            <w:rFonts w:ascii="SimSun" w:hAnsi="SimSun" w:eastAsia="SimSun" w:cs="SimSun"/>
            <w:color w:val="0000ee"/>
            <w:sz w:val="24"/>
            <w:u w:val="single"/>
          </w:rPr>
          <w:t xml:space="preserve">合同草案条款</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818930" w:history="1">
        <w:r>
          <w:rPr>
            <w:rStyle w:val="818"/>
            <w:rFonts w:ascii="SimSun" w:hAnsi="SimSun" w:eastAsia="SimSun" w:cs="SimSun"/>
            <w:color w:val="0000ee"/>
            <w:sz w:val="24"/>
            <w:u w:val="single"/>
          </w:rPr>
          <w:t xml:space="preserve">第六章</w:t>
        </w:r>
        <w:r>
          <w:rPr>
            <w:rStyle w:val="818"/>
            <w:rFonts w:ascii="Times New Roman" w:hAnsi="Times New Roman" w:eastAsia="Times New Roman" w:cs="Times New Roman"/>
            <w:color w:val="0000ee"/>
            <w:sz w:val="24"/>
            <w:u w:val="single"/>
          </w:rPr>
          <w:t xml:space="preserve">   </w:t>
        </w:r>
        <w:r>
          <w:rPr>
            <w:rStyle w:val="818"/>
            <w:rFonts w:ascii="SimSun" w:hAnsi="SimSun" w:eastAsia="SimSun" w:cs="SimSun"/>
            <w:color w:val="0000ee"/>
            <w:sz w:val="24"/>
            <w:u w:val="single"/>
          </w:rPr>
          <w:t xml:space="preserve">响应文件格式</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pStyle w:val="658"/>
        <w:ind w:left="0" w:right="0" w:firstLine="0"/>
        <w:jc w:val="center"/>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西夏墅镇全域土地综合整治方案编制项目竞争性磋商公告</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00"/>
      </w:tblGrid>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西夏墅镇全域土地综合整治方案编制项目JSZC-320411005-CZWC-C2026-0007采购项目的潜在供应商应在政府采购一体化平台“苏采云”获取采购文件，并于</w:t>
            </w:r>
            <w:r>
              <w:rPr>
                <w:rFonts w:ascii="SimSun" w:hAnsi="SimSun" w:eastAsia="SimSun" w:cs="SimSun"/>
                <w:color w:val="000000"/>
                <w:sz w:val="24"/>
                <w:u w:val="single"/>
              </w:rPr>
              <w:t xml:space="preserve">2026年4月16日14点00分</w:t>
            </w:r>
            <w:r>
              <w:rPr>
                <w:rFonts w:ascii="SimSun" w:hAnsi="SimSun" w:eastAsia="SimSun" w:cs="SimSun"/>
                <w:color w:val="000000"/>
                <w:sz w:val="24"/>
              </w:rPr>
              <w:t xml:space="preserve">（北京时间）前提交响应文件。</w:t>
            </w:r>
            <w:r/>
          </w:p>
        </w:tc>
      </w:tr>
    </w:tbl>
    <w:p>
      <w:pPr>
        <w:ind w:left="0" w:right="-34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141" w:right="-4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项目编号：JSZC-320411005-CZWC-C2026-0007   </w:t>
      </w:r>
      <w:r/>
    </w:p>
    <w:p>
      <w:pPr>
        <w:ind w:left="-141" w:right="-454" w:firstLine="3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项目名称：西夏墅镇全域土地综合整治方案编制项目</w:t>
      </w:r>
      <w:r/>
    </w:p>
    <w:p>
      <w:pPr>
        <w:ind w:left="-141" w:right="-4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141" w:right="-454"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预算金额：</w:t>
      </w:r>
      <w:r>
        <w:rPr>
          <w:rFonts w:ascii="SimSun" w:hAnsi="SimSun" w:eastAsia="SimSun" w:cs="SimSun"/>
          <w:color w:val="000000"/>
          <w:sz w:val="24"/>
        </w:rPr>
        <w:t xml:space="preserve">200万元。</w:t>
      </w:r>
      <w:r/>
    </w:p>
    <w:p>
      <w:pPr>
        <w:ind w:left="-141" w:right="-454"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最高限价：200万元。</w:t>
      </w:r>
      <w:r/>
    </w:p>
    <w:p>
      <w:pPr>
        <w:ind w:left="-141" w:right="-454"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采购需求：采购服务单位进行综合整治方案编制，工作内容主要包括实施方案编制、永久基本农田调整补划方案、村庄规划调整方案、权属方案编制全过程服务等。具体内容详见采购需求。</w:t>
      </w:r>
      <w:r/>
    </w:p>
    <w:p>
      <w:pPr>
        <w:ind w:left="0" w:right="-45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合同履行期限：30天内形成方案初稿，最终方案须在2026年9月30日前报送省自然资源厅。</w:t>
      </w:r>
      <w:r/>
    </w:p>
    <w:p>
      <w:pPr>
        <w:ind w:left="0" w:right="-45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141" w:right="-454" w:firstLine="5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141" w:right="-454" w:firstLine="5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（一）满足《中华人民共和国政府采购法》第二十二条规定及下列情形：</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1.1未被“信用中国”网站或“中国政府采购网”网站列入失信被执行人、重大税收违法案件当事人名单、政府采购严重失信行为记录名单；</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w:t>
      </w:r>
      <w:r>
        <w:rPr>
          <w:rFonts w:ascii="SimSun" w:hAnsi="SimSun" w:eastAsia="SimSun" w:cs="SimSun"/>
          <w:color w:val="000000"/>
          <w:sz w:val="24"/>
        </w:rPr>
        <w:t xml:space="preserve"> 落实政府采购政策需满足的资格要求： </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2.1中小企业政策（说明：中小企业包含中型、小型、微型企业，小微企业包含小型、微型企业）</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本项目专门面向中小企业采购。即：提供的服务全部由符合政策要求的中小企业承接。（说明：中小企业包含中型、小型、微型企业，残疾人福利性单位和监狱企业视同小微企业）</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其它落实政府采购政策的资格要求（如有）：无。</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3.1本项目是否接受分支机构参与投标：否； </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3.2本项目是否属于政府购买服务：是，公益一类事业单位、使用事业编制且由财政拨款保障的群团组织，不得作为承接主体。</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3.3其他特定资格要求：供应商须同时具备：①城乡规划（国土空间规划）编制资质证书乙级及以上资质②测绘乙级及以上资质。</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地点：政府采购一体化平台“苏采云”。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方式：在“苏采云”平台自行免费下载磋商文件；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截止时间：2026年4月16日14点00分（北京时间）</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时间：2026年4月16日14点00分（北京时间）</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3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1、本项目需要落实的政府采购政策：无</w:t>
      </w:r>
      <w:r>
        <w:rPr>
          <w:rFonts w:ascii="SimSun" w:hAnsi="SimSun" w:eastAsia="SimSun" w:cs="SimSun"/>
          <w:color w:val="000000"/>
          <w:spacing w:val="2"/>
          <w:sz w:val="24"/>
        </w:rPr>
        <w:t xml:space="preserve">。</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关于常州市中小企业政府采购信用融资：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名称:常州市新北区西夏墅镇人民政府</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 常州市新北区西夏墅镇阳澄湖路231号</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 戴先生 0519-83438353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2.采购代理机构信息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名称：常州沃成招标有限公司</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　　址：常州市新北区荣盛锦绣华府15栋三楼（曼哈顿广场北侧商铺）</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联系方式：0519-68952791</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3.项目联系方式</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项目联系人：郭工</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　　 话：0519-68952791</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电子化招投标技术支持电话：0519-85588210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注：上述个人信息由于工作需要经机构或本人同意对外公布。</w:t>
      </w:r>
      <w:r/>
    </w:p>
    <w:p>
      <w:pPr>
        <w:ind w:left="0" w:right="0" w:firstLine="5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Wingdings 2" w:hAnsi="Wingdings 2" w:eastAsia="Wingdings 2" w:cs="Wingdings 2"/>
          <w:color w:val="000000"/>
          <w:sz w:val="21"/>
        </w:rPr>
        <w:t xml:space="preserve">R</w:t>
      </w:r>
      <w:r>
        <w:rPr>
          <w:rFonts w:ascii="SimSun" w:hAnsi="SimSun" w:eastAsia="SimSun" w:cs="SimSun"/>
          <w:color w:val="000000"/>
          <w:sz w:val="24"/>
        </w:rPr>
        <w:t xml:space="preserve">”的选项意为适用于本项目，标记“</w:t>
      </w:r>
      <w:r>
        <w:rPr>
          <w:rFonts w:ascii="SimSun" w:hAnsi="SimSun" w:eastAsia="SimSun" w:cs="SimSun"/>
          <w:color w:val="000000"/>
          <w:sz w:val="21"/>
        </w:rPr>
        <w:t xml:space="preserve">□</w:t>
      </w:r>
      <w:r>
        <w:rPr>
          <w:rFonts w:ascii="SimSun" w:hAnsi="SimSun" w:eastAsia="SimSun" w:cs="SimSun"/>
          <w:color w:val="000000"/>
          <w:sz w:val="24"/>
        </w:rPr>
        <w:t xml:space="preserve">”的选项意为不适用于本项目。</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254"/>
        <w:gridCol w:w="8503"/>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1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 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工程</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否</w:t>
            </w:r>
            <w:r/>
          </w:p>
        </w:tc>
      </w:tr>
      <w:tr>
        <w:trPr>
          <w:trHeight w:val="12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p>
        </w:tc>
      </w:tr>
      <w:tr>
        <w:trPr>
          <w:trHeight w:val="12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其他未列明行业</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满足采购人及相关法律法规要求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（3）其他要求：_______。</w:t>
            </w:r>
            <w:r/>
          </w:p>
        </w:tc>
      </w:tr>
      <w:tr>
        <w:trPr>
          <w:trHeight w:val="1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2026年4月10日17:00（北京时间）前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w:t>
            </w:r>
            <w:hyperlink r:id="rId15" w:tooltip="mailto:804311530@qq.com.%EF%BC%88%EF%BC%89" w:history="1">
              <w:r>
                <w:rPr>
                  <w:rStyle w:val="818"/>
                  <w:rFonts w:ascii="SimSun" w:hAnsi="SimSun" w:eastAsia="SimSun" w:cs="SimSun"/>
                  <w:color w:val="0000ee"/>
                  <w:spacing w:val="2"/>
                  <w:sz w:val="24"/>
                  <w:u w:val="none"/>
                </w:rPr>
                <w:t xml:space="preserve">804311530@qq.com.（采用原件扫描件形式提交的，仍需将原件邮寄至采购人和采购代理机构联系人处）</w:t>
              </w:r>
            </w:hyperlink>
            <w:r/>
          </w:p>
        </w:tc>
      </w:tr>
      <w:tr>
        <w:trPr>
          <w:trHeight w:val="1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通讯地址：常州市新北区荣盛锦绣华府15栋三楼（曼哈顿广场北侧商铺）采购代理室。</w:t>
            </w:r>
            <w:r/>
          </w:p>
        </w:tc>
      </w:tr>
      <w:tr>
        <w:trPr>
          <w:trHeight w:val="2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
              <w:gridCol w:w="185"/>
            </w:tblGrid>
            <w:tr>
              <w:trPr>
                <w:trHeight w:val="3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pacing w:val="2"/>
                <w:sz w:val="24"/>
              </w:rPr>
              <w:t xml:space="preserve">中标服务费按如下标准收取，</w:t>
            </w:r>
            <w:r>
              <w:rPr>
                <w:rFonts w:ascii="SimSun" w:hAnsi="SimSun" w:eastAsia="SimSun" w:cs="SimSun"/>
                <w:color w:val="000000"/>
                <w:sz w:val="24"/>
              </w:rPr>
              <w:t xml:space="preserve">按差额定率累进法计算，</w:t>
            </w:r>
            <w:r>
              <w:rPr>
                <w:rFonts w:ascii="SimSun" w:hAnsi="SimSun" w:eastAsia="SimSun" w:cs="SimSun"/>
                <w:color w:val="000000"/>
                <w:spacing w:val="2"/>
                <w:sz w:val="24"/>
              </w:rPr>
              <w:t xml:space="preserve">不足3000元按3000元收取；</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pacing w:val="2"/>
                <w:sz w:val="24"/>
              </w:rPr>
              <w:t xml:space="preserve">在领取《中标通知书》时，一次性向采购代理机构交纳招标代理服务费</w:t>
            </w:r>
            <w:r>
              <w:rPr>
                <w:rFonts w:ascii="SimSun" w:hAnsi="SimSun" w:eastAsia="SimSun" w:cs="SimSun"/>
                <w:color w:val="000000"/>
                <w:sz w:val="24"/>
              </w:rPr>
              <w:t xml:space="preserve">。</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numPr>
                <w:ilvl w:val="0"/>
                <w:numId w:val="14"/>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CA数字证书和电子签章具体办理指南和操作手册见链接：</w:t>
            </w:r>
            <w:hyperlink r:id="rId16" w:tooltip="http://www.ccgp-jiangsu.gov.cn/jiangsu/zlxz/ee/ee3a4bc5a3454aa2b0d9312230633ce9.html%E3%80%82" w:history="1">
              <w:r>
                <w:rPr>
                  <w:rStyle w:val="818"/>
                  <w:rFonts w:ascii="SimSun" w:hAnsi="SimSun" w:eastAsia="SimSun" w:cs="SimSun"/>
                  <w:color w:val="0000ee"/>
                  <w:spacing w:val="2"/>
                  <w:sz w:val="24"/>
                  <w:u w:val="none"/>
                </w:rPr>
                <w:t xml:space="preserve">http://www.ccgp-jiangsu.gov.cn/jiangsu/zlxz/ee/ee3a4bc5a3454aa2b0d9312230633ce9.html。</w:t>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w:t>
            </w:r>
            <w:r>
              <w:rPr>
                <w:rFonts w:ascii="SimSun" w:hAnsi="SimSun" w:eastAsia="SimSun" w:cs="SimSun"/>
                <w:color w:val="000000"/>
                <w:sz w:val="24"/>
              </w:rPr>
              <w:t xml:space="preserve">“信用中国”网站（www.creditchina.gov.cn）、“中国政府采购网”网站（www.ccgp.gov.cn）。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660"/>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供应商（也称“申请人”）：指向采购人提供货物、工程或者服务的法人、其他组织或者自然人。</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资金来源为财政性资金或本项目采购中无法与财政性资金分割的非财政性资金。</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4"/>
        </w:rPr>
        <w:t xml:space="preserve">〔2009〕36 号）。</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4.2.1.2供应商提供的货物、工程或者服务符合下列情形的，享受中小企业扶持政策：</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4.2.1.4以联合体形式参加政府采购活动，联合体各方均为中小企业的，联合体视同中小企业。其中，联合体各方均为小微企业的，联合体视同小微企业。</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4.2.3.1安置的残疾人占本单位在职职工人数的比例不低于25%（含25%），并且安置的残疾人人数不少于10 人（含10 人）；</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4.2.3.2依法与安置的每位残疾人签订了一年以上（含一年）的劳动合同或服务协议；</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4.2.3.3为安置的每位残疾人按月足额缴纳了基本养老保险、基本医疗保险、失业保险、工伤保险和生育保险等社会保险费；</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4.2.3.4通过银行等金融机构向安置的每位残疾人，按月支付了不低于单位所在区县适用的经省级人民政府批准的月最低工资标准的工资；</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4.2.3.5提供本单位制造的货物、承担的工程或者服务（以下简称产品），或者提供其他残疾人福利性单位制造的货物（不包括使用非残疾人福利性单位注册商标的货物）；</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所投产品属于《关于调整信息安全产品强制性认证实施要求的公告》（2009 年第33 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。关于信息安全相关规定依据《关于信息安全产品实施政府采购的通知》（财库〔2010〕48 号）。</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4.8.3 优先使用低挥发性有机化合物产品</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供应商应自行承担其编制、提交响应文件以及参加竞争性磋商活动所产生之一切费用。无论竞争性磋商活动中的做法和结果如何(包括采购单位决定取消采购的)，采购人和采购代理机构对上述费用不负任何责任。</w:t>
      </w:r>
      <w:r/>
    </w:p>
    <w:p>
      <w:pPr>
        <w:ind w:left="10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发布媒介上以发布更正公告的形式通知所有获取磋商文件的供应商。更正（或补充、澄清）公告将作为竞争性磋商文件的组成部分，并对供应商具有约束力，由供应商自行关注并获取。供应商敬请及时关注发布的更正（或补充、澄清）公告，如供应商未按上述要求操作，将自行承担所产生的风险。</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424" w:right="-454"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磋商文件各项条款最终解释权归常州沃成招标有限公司，供应商对采购代理机构提供的磋商文件所做出的推论、解释和结论，采购代理机构概不负责。供应商由于对磋商文件的任何推论和误解以及采购代理机构对有关问题的口头解释所造成的后果，均由供应商自负。</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如标书制作工具中格式和内容与“江苏政府采购网、常州市政府采购网”发布的磋商文件不一致，请以“江苏政府采购网、常州市政府采购网”发布的磋商文件为准。</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价应包括磋商文件所确定的采购范围内所有服务内容以及相应的管理、检查、劳务、培训、必须的备件和工具、运送工具及耗材、人工利润、餐饮、交通、风险、保险、人身伤亡、残险、税金、提供的报告及政策性文件规定等所有费用，以及为完成该项目所涉及到的一切其他相关费用。 </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磋商保证金</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响应有效期</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应当使用原件；要求第三方出具的盖章件原件（如联合协议、分包意向协议、制造商授权书原件等），响应文件中应使用原件的复印件加盖公章。</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竞争性磋商文件要求盖章的内容应当盖章。</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w:t>
      </w:r>
      <w:r>
        <w:rPr>
          <w:rFonts w:ascii="SimSun" w:hAnsi="SimSun" w:eastAsia="SimSun" w:cs="SimSun"/>
          <w:color w:val="000000"/>
          <w:sz w:val="24"/>
        </w:rPr>
        <w:t xml:space="preserve">应文件提交，截止时间和地点</w:t>
      </w:r>
      <w:r/>
    </w:p>
    <w:p>
      <w:pPr>
        <w:ind w:left="0" w:right="-454"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15.1供应商应在竞争性磋商文件要求提交响应文件截止时间前，将电子响应文件提交。</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供应商可在</w:t>
      </w:r>
      <w:r>
        <w:rPr>
          <w:rFonts w:ascii="SimSun" w:hAnsi="SimSun" w:eastAsia="SimSun" w:cs="SimSun"/>
          <w:color w:val="000000"/>
          <w:sz w:val="24"/>
        </w:rPr>
        <w:t xml:space="preserve">提交响应文件截止时间前，撤回其电子响应文件，具体操作方法见《操作手册》。</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五评审</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供应商不足3家的，不予解密。</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评审小组根据政府采购有关规定和本次采购项目的特点进行组建，并负责具体评审事务，独立履行职责。</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评审方法和评审标准：见第三章《评审方法和评审标准》。</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评审小组并非对每个供应商都作澄清要求。</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资格审查：由采购小组依据法律法规和采购文件的规定，对响应文件中的资格证明文件进行审查，以确定供应商是否具备参加采购的资格。</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符合性审查：依据采购文件的规定，由采购小组从响应文件的有效性、完整性和对采购文件的响应程度进行审查，以确定是否对采购文件的实质性要求作出响应。</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3.投标（响应）报价低于采购项目最高限价45%的，即投标（响应）报价&lt;采购项目最高限价×45%；</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4"/>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383838"/>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SimSun" w:hAnsi="SimSun" w:eastAsia="SimSun" w:cs="SimSun"/>
          <w:color w:val="000000"/>
          <w:sz w:val="24"/>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10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采购人或采购代理机构将在成交供应商确定后2个工作日内，公告成交结果，同时向成交供应商发出成交通知书，成交公告期限为1个工作日。</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SimSun" w:hAnsi="SimSun" w:eastAsia="SimSun" w:cs="SimSun"/>
          <w:color w:val="000000"/>
          <w:spacing w:val="-4"/>
          <w:sz w:val="24"/>
        </w:rPr>
        <w:t xml:space="preserve">的情形外，在采购过程中符合要求的供应商或者报价未超过采购预算的供应商不足3家的。</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7" w:tooltip="http://gks.mof.gov.cn/ztztz/zhengfucaigouguanli/201802/t20180201_2804589.htm" w:history="1">
        <w:r>
          <w:rPr>
            <w:rStyle w:val="818"/>
            <w:rFonts w:ascii="SimSun" w:hAnsi="SimSun" w:eastAsia="SimSun" w:cs="SimSu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收费对象、收费标准及缴纳时间见《供应商须知资料表》。由成交供应商支付的，成交供应商须一次性向采购代理机构缴纳代理费，该费用供应商自行考虑在磋商总价中。</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454"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26供应商的义务</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26.1供应商应当认真阅读磋商文件，完全明了采购项目之名称、用途、数量、质量和交货日期，完全明了供应商所应具备的资格条件。</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26.2供应商应当按照磋商文件的要求编制响应文件。响应文件应对磋商文件提出的实质性要求和条件作出完全响应</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26.3供应商不得相互串通磋商报价，不得排挤其他供应商的公平竞争，损害采购人或者其他供应商合法权益。供应商不得与采购人串通，损害国家利益，公众利益或者他人的合法权益。</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27、磋商程序及评审方法和评审标准</w:t>
      </w:r>
      <w:r/>
    </w:p>
    <w:p>
      <w:pPr>
        <w:ind w:left="0" w:right="0" w:firstLine="477"/>
        <w:jc w:val="both"/>
        <w:spacing w:before="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77"/>
        <w:jc w:val="both"/>
        <w:spacing w:before="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具体规定为：①市场竞争不充分的科研项目，以及需要扶持的科技成果转化项目②采用竞争性磋商采购方式采购的政府购买服务项目（含政府和社会资本合作项目），在采购过程中符合要求的供应商（社会资本）只有2家的，竞争性磋商采购活动可以继续进行。采购过程中符合要求的供应商（社会资本）只有</w:t>
      </w:r>
      <w:r>
        <w:rPr>
          <w:rFonts w:ascii="SimSun" w:hAnsi="SimSun" w:eastAsia="SimSun" w:cs="SimSun"/>
          <w:color w:val="000000"/>
          <w:sz w:val="24"/>
        </w:rPr>
        <w:t xml:space="preserve">1家的，采购人（项目实施机构）或者采购代理机构应当终止竞争性磋商采购活动，发布项目终止公告并说明原因，重新开展采购活动。</w:t>
      </w:r>
      <w:r/>
    </w:p>
    <w:p>
      <w:pPr>
        <w:ind w:left="0" w:right="0" w:firstLine="477"/>
        <w:jc w:val="both"/>
        <w:spacing w:before="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确定成交单位</w:t>
      </w:r>
      <w:r/>
    </w:p>
    <w:p>
      <w:pPr>
        <w:ind w:left="0" w:right="0" w:firstLine="477"/>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审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28.2采购人从评审报告提出的成交候选供应商中，按照排序由高到低的原则确定成交供应商。采购人确定成交供应商后，将在“江苏政府采购网、常州市政府采购网”发布成交结果公告，公告期限为1个工作日。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28.3.2与评审专家、采购人、其他供应商或者采购工作人员恶意串通的。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28.3.3向评审专家、采购人或采购人员行贿或者提供其他不正当利益的。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31、中标服务费缴纳账户:</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账号：80500188000081338</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开户行联行行号：313304008052</w:t>
      </w:r>
      <w:r/>
    </w:p>
    <w:p>
      <w:pPr>
        <w:ind w:left="0" w:right="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32、诚实信用</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32.1、供应商之间不得相互串通报价，不得妨碍其他供应商的公平竞争，不得损害采购人和其他供应商的合法权益。</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供应商不得以向代理机构工作人员、磋商小组成员行贿或者采取其他不正当手段谋取中标。经查实供应商有此行为的，政府采购管理部门将供应商列入不良行为记录名单，按照《中华人民共和国政府采购法》有关规定处理。</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32.4、供应商不得虚假承诺，否则，按照提供虚假材料谋取中标成交处理。</w:t>
      </w:r>
      <w:r/>
    </w:p>
    <w:p>
      <w:pPr>
        <w:ind w:left="0" w:right="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33、未尽事宜</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2"/>
        <w:gridCol w:w="1935"/>
        <w:gridCol w:w="4714"/>
        <w:gridCol w:w="1864"/>
      </w:tblGrid>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1、供应商单独参与磋商的，应提供中小企业声明函；如为监狱企业或残疾人福利性单位，不必提供中小企业声明函，但须按注1或注2要求提供证明材料。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820"/>
        <w:gridCol w:w="6790"/>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w:t>
            </w:r>
            <w:r>
              <w:rPr>
                <w:rFonts w:ascii="SimSun" w:hAnsi="SimSun" w:eastAsia="SimSun" w:cs="SimSun"/>
                <w:b/>
                <w:color w:val="000000"/>
                <w:sz w:val="24"/>
              </w:rPr>
              <w:t xml:space="preserve">提供响应函、法定代表人资格证明书</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rPr>
                <w:rFonts w:ascii="SimSun" w:hAnsi="SimSun" w:eastAsia="SimSun" w:cs="SimSun"/>
                <w:b/>
                <w:color w:val="000000"/>
                <w:sz w:val="24"/>
              </w:rPr>
              <w:t xml:space="preserve">提供《分项报价表》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rPr>
                <w:rFonts w:ascii="SimSun" w:hAnsi="SimSun" w:eastAsia="SimSun" w:cs="SimSun"/>
                <w:b/>
                <w:color w:val="000000"/>
                <w:sz w:val="24"/>
              </w:rPr>
              <w:t xml:space="preserve">提供承诺书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w:t>
            </w:r>
            <w:r>
              <w:rPr>
                <w:rFonts w:ascii="SimSun" w:hAnsi="SimSun" w:eastAsia="SimSun" w:cs="SimSun"/>
                <w:b/>
                <w:color w:val="000000"/>
                <w:sz w:val="24"/>
              </w:rPr>
              <w:t xml:space="preserve">提供分包意向协议原件的电子件</w:t>
            </w:r>
            <w:r>
              <w:rPr>
                <w:rFonts w:ascii="SimSun" w:hAnsi="SimSun" w:eastAsia="SimSun" w:cs="SimSun"/>
                <w:color w:val="000000"/>
                <w:sz w:val="24"/>
              </w:rPr>
              <w:t xml:space="preserve">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w:t>
            </w:r>
            <w:r>
              <w:rPr>
                <w:rFonts w:ascii="SimSun" w:hAnsi="SimSun" w:eastAsia="SimSun" w:cs="SimSun"/>
                <w:b/>
                <w:color w:val="000000"/>
                <w:sz w:val="24"/>
              </w:rPr>
              <w:t xml:space="preserve">如有下列情形的，供应商的响应产品应符合相应规定或要求，并提供证明文件电子件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系统判定使用同一机器注册码的计算机制作电子响应文件的情形）；（二）不同供应商委托同一单位或者个人办理响应事宜（包含系统判定使用同一机器注册码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w:t>
            </w:r>
            <w:r>
              <w:rPr>
                <w:rFonts w:ascii="SimSun" w:hAnsi="SimSun" w:eastAsia="SimSun" w:cs="SimSun"/>
                <w:color w:val="000000"/>
                <w:sz w:val="24"/>
              </w:rPr>
              <w:t xml:space="preserve">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jc w:val="both"/>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落实政府采购政策的价格调整：只有符合第二章《供应商须知》4.2条规定情形的，可以享受中小企业扶持政策，用扣除后的价格参加评审；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报价给予10%的扣除，用扣除后的价格参加评审。</w:t>
      </w:r>
      <w:r/>
    </w:p>
    <w:p>
      <w:pPr>
        <w:numPr>
          <w:ilvl w:val="2"/>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30%以上的联合体或者大中型企业的报价给予6%的扣除，用扣除后的价格参加评审。</w:t>
      </w:r>
      <w:r/>
    </w:p>
    <w:p>
      <w:pPr>
        <w:numPr>
          <w:ilvl w:val="2"/>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不满足磋商文件★号条款或磋商文件技术指标超出磋商文件《采购需求》中主要技术参数允许偏差的最大范围的（如有）；</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其他：______。</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pStyle w:val="660"/>
        <w:ind w:left="0" w:right="0" w:firstLine="0"/>
        <w:jc w:val="both"/>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1211"/>
        <w:gridCol w:w="761"/>
        <w:gridCol w:w="6697"/>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一、报价（10分）</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10。</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异常低价审查：见采购文件19.8异常低价审查。</w:t>
            </w:r>
            <w:r/>
          </w:p>
        </w:tc>
      </w:tr>
      <w:tr>
        <w:trPr>
          <w:trHeight w:val="56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二、客观分（40分）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管理体系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供应商具有质量管理体系认证证书、环境管理体系认证证书、职业健康安全管理体系认证证书、信息安全管理体系认证证书、企业知识产权管理体系认证证书的，有1个得1分。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本项最高得5分。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注：响应文件内提供证书原件扫描件及在国家认监委网站查询状态为“有效”的截图，未按要求提供的不得分。</w:t>
            </w:r>
            <w:r/>
          </w:p>
        </w:tc>
      </w:tr>
      <w:tr>
        <w:trPr>
          <w:trHeight w:val="7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企业获奖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自2023年1月1日以来（以获奖文件时间为准）获得省级及以上行政主管部门颁发土地方面或国土方面奖项的，每有一项得2分，本项最高得4分。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注：响应文件内提供奖项证明材料原件扫描件，时间以奖项获得时间为准，未按要求提供的不得分。</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具有土地整治相关软件著作权的，每有一个得1分，最高得2分。</w:t>
            </w:r>
            <w:r>
              <w:rPr>
                <w:rFonts w:ascii="SimSun" w:hAnsi="SimSun" w:eastAsia="SimSun" w:cs="SimSun"/>
                <w:b/>
                <w:color w:val="000000"/>
                <w:sz w:val="24"/>
              </w:rPr>
              <w:t xml:space="preserve">注：响应文件内提供相关软件著作权证书原件扫描件，未按要求提供的不得分。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日以来，承揽过土地综合整治相关业绩，有一个得</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本项最高得10分（同一业主单位同一项目不同年度的业绩不重复计分）。注：提供合同原件扫描件，时间以合同签订时间为准。</w:t>
            </w:r>
            <w:r/>
          </w:p>
        </w:tc>
      </w:tr>
      <w:tr>
        <w:trPr>
          <w:trHeight w:val="10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 （限评一人）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①拟配备项目负责人具备土地或规划方面高级及以上工程师职称的，得2分；拟配备项目负责人具备土地或规划方面中级工程师职称的，得1分。本项最高得2分。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②项目负责人参与过国家级土地方面相关行业规范编制的得2分；参与过省级土地方面相关行业规范编制的，得1分。本项最高得2分。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③具有保密培训证书的得1分。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注：①响应文件内提供相关证书或证明材料原件扫描件②提供响应人为其缴纳2025年12月-2026年2月社保缴纳证明原件扫描件。</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技术负责人（限评一人）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①拟配备技术负责人具备土地或规划方面高级及以上工程师职称且具有有效的注册城乡规划师证书的，得3分，具备土地或规划方面中级工程师职称且具有有效的注册城乡规划师证书的，得2分。本项最高得3分。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②拟配备技术负责人近三年来取得省级及以上行政主管部门颁发的国土空间规划奖项的，得2分；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注：①响应文件内提供相关证书或证明材料原件扫描件②提供响应人为其缴纳2025年12月-2026年2月社保缴纳证明原件扫描件。</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拟投入项目组人员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项目组成员（不含负责人及技术负责人）具备土地或规划方面高级及以上职称的，有一人得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分；具备土地或规划方面中级职称的，有一人得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分。本项同一人最高得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本项最高得</w:t>
            </w: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分。①响应文件内提供相关证书原件扫描件②提供响应人为其缴纳2025年12月-2026年2月社保缴纳证明原件扫描件。</w:t>
            </w:r>
            <w:r/>
          </w:p>
        </w:tc>
      </w:tr>
      <w:tr>
        <w:trPr>
          <w:trHeight w:val="9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备注：上述</w:t>
            </w:r>
            <w:r>
              <w:rPr>
                <w:rFonts w:ascii="SimSun" w:hAnsi="SimSun" w:eastAsia="SimSun" w:cs="SimSun"/>
                <w:color w:val="000000"/>
                <w:sz w:val="24"/>
              </w:rPr>
              <w:t xml:space="preserve">客观分5、6、7评分人员不得重复，否则按得分较高项计取。</w:t>
            </w:r>
            <w:r/>
          </w:p>
        </w:tc>
      </w:tr>
      <w:tr>
        <w:trPr>
          <w:trHeight w:val="49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三、主观分（50分）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项目理解（14分）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对本项目的项目背景理解准确程度、项目目的把握深入程度、相关政策和规划解读充分程度等理解合理完善得14分；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对本项目的项目背景理解准确程度、项目目的把握深入程度、相关政策和规划解读充分程度等理解较合理完善得10分；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对本项目的项目背景理解准确程度、项目目的把握深入程度、相关政策和规划解读充分程度等理解一般得6分；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对本项目的现状研判、实施思路和内容框架清晰程度、技术路线合理程度合理完善得15分；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对本项目的现状研判、实施思路和内容框架清晰程度、技术路线合理程度较合理完善得10分；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对本项目的现状研判、实施思路和内容框架清晰程度、技术路线合理程度理解一般得5分；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项目重点难点分析及应对措施</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供应商提供的项目重点分析、关键问题识别、应对措施及相关的合理化建议合理完善得7分；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供应商提供的项目重点分析、关键问题识别、应对措施及相关的合理化建议较合理完善得5分；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供应商提供的项目重点分析、关键问题识别、应对措施及相关的合理化建议一般得3分；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质量保障措施及服务承诺</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供应商提供的项目质量保障措施及服务承诺等方案合理完善、保障力度强、服务承诺完善得7分；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供应商提供的项目质量保障措施及服务承诺等方案较合理、保障力度较强、服务承诺相对完善得5分；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供应商提供的项目质量保障措施及服务承诺等方案较一般、保障力度一般、服务承诺相对一般得3分；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计划及进度保证措施</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供应商提供的项目进度计划、进度保障措施等方案合理完善、保障力度强得7分；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供应商提供的项目进度计划、进度保障措施等方案较合理完善、保障力度较强得5分；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供应商提供的项目进度计划、进度保障措施等方案较一般、保障力度较一般得3分；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36"/>
        </w:rPr>
        <w:t xml:space="preserve">第四章采购需求</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一、项目概况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贯彻落实《自然资源部关于学习运用“千万工程”经验深入推进全域土地综合整治工作的意见》（自然资发〔2024〕149号）及江苏省相关工作要求，优化镇域国土空间布局，提升土地利用效率，改善农村人居环境，促进乡村全面振兴和城乡融合发展，现启动西夏墅镇全域土地综合整治实施方案编制工作。实施单元范围为西夏墅镇行政区范围。</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二、工作要求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施方案编制应符合国家、省、市关于全域土地综合整治的相关政策和技术规范要求，满足常州市、新北区相关审查标准。供应商应根据项目要求组建专业团队，按照以下工作内容分阶段推进，确保成果质量与进度。</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（一）主要工作内容</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1、前期研究阶段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①技术准备：编制项目工作方案与技术方案，明确工作目标、任务分工、技术路线与时间节点。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②资料收集：系统收集土地利用现状、国土空间规划、生态保护红线、永久基本农田、经济社会发展、权属状况等基础资料。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③政策解读：梳理国家、省、市、区相关政策文件，明确政策导向与实施要求。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④现状调研：开展实地调研与座谈，掌握区域现状、存在问题、发展需求及利益相关方诉求。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⑤整治方案研究：研究确定整治范围、初步目标、重点任务与实施路径。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⑥初步大纲编制：编制整治初步方案，明确整治区域、项目类型、子项目安排、资金预算、实施保障等内容。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⑦大纲沟通汇报：分别向镇、区、市、省等层级汇报初步思路，收集反馈意见并修改完善。</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2、实施方案编制阶段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全域土地综合整治实施方案编制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按照国家、省、市相关技术指南要求，编制完成《西夏墅镇全域土地综合整治实施方案》，主要内容包括但不限于以下章节：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①项目建设条件分析：分析实施单元自然地理、社会经济、产业发展、基础设施、生态环境、土地利用现状及权属情况。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②现状问题与整治潜力分析：识别空间布局无序化、耕地碎片化、资源利用低效化、生态质量退化等问题，分析农用地整治、建设用地整治、生态修复等潜力。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整治目标与内容：提出助推乡村全面振兴和城乡融合发展的总体目标、阶段目标，明确整治任务、整治分区、子项目安排及实施时序。在子项目确定过程中，应结合实地踏勘数据，明确各子项目的具体位置、四至范围及拐点坐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④投资估算与资金筹措：根据子项目类型与整治标准，估算项目总投资，明确资金来源（财政资金、社会资本等），编制资金平衡方案。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⑤效益分析：分析项目实施后产生的社会效益（人居环境改善、基础设施提升等）、生态效益（生态修复、环境质量提升等）及经济效益（产业升级、资源盘活等）。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⑥实施保障措施：提出组织保障、政策保障、资金保障、监管机制等方面的具体措施。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(2)土地权属调整方案编制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①调查整治区域内土地权属现状，对涉及权属调整的地块进行实地踏勘，核实权属界线，有必要的需实地测绘。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②制定整治区域及子项目的权属调整方案，明确调整原则、调整方式、调整程序。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③形成权属调整方案文本、图件及相关表格。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④征询涉及的权属单位和农户意见，形成征求意见记录。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(3)永久基本农田调整方案编制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①按照“总体稳定、微调优化”原则，梳理布局零星、破碎、散乱、配套设施不完善、不便耕种的地块。</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②明确调出地块与补划地块，补划地块需先行落实、质量达标。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③调整规模原则上不超过镇内永久基本农田划定面积的5%。</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④开展调出与补划地块的现场核查，评估补划可行性。</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⑤编制永久基本农田调整方案文本、图件、表格及数据库。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（4）村庄规划修编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①评估现行村庄规划与全域土地综合整治方案的一致性，识别空间布局、用地功能、设施配套等方面存在的冲突与不足。</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②针对全域整治项目中与现行村庄规划不符的建设内容、用地安排或设施布局，提出村庄规划调整建议，明确调整地块的位置、规模、用途及调整依据。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 村庄规划修编：依据国家及江苏省村庄规划编制相关技术规范，结合整治需求，开展村庄规划编制、修编或局部优化工作，形成“多规合一”的实用性村庄规划成果。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④形成村庄规划文本、说明、图件及数据库，完成村庄规划成果的公示、审查与报批，确保规划程序合法合规。</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3、方案论证与报批阶段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①区级审查：组织全域实施方案、权属调整方案、永农调整方案等成果的区级审查，形成审查意见。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②市级审查：提交市级部门审查，根据反馈意见修改完善。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③市级论证：组织全域整治方案及永农调整方案的市级专家论证，形成论证意见。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④省级论证：组织省级专家对全域整治方案进行论证，确保方案符合省级规范与政策要求。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⑤方案报批：根据省、市审查论证意见修改完善，完成全域整治方案及永农调整方案的省级批复备案。</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4、数据备案与评估总结阶段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①数据备案：方案批准后，按照要求完成全域土地综合整治数据库及相关成果的系统备案。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②工作总结：形成总结报告，为后续实施提供支撑。</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（二）成果形式</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1、报告成果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①西夏墅镇全域土地综合整治实施方案（含文本、说明）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②西夏墅镇永久基本农田调整方案（含文本、说明）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③土地权属调整方案（含文本、说明）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④村庄规划修编方案（含文本、图件、数据库等）</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2、数据库成果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①基于“三调”及最新年度国土变更调查成果，构建全域土地综合整治数据库。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②数据库内容包含整治区域范围、子项目分布、权属调整信息、永久基本农田调整信息等。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③数据库需与国土空间规划数据库衔接，符合统一的图层和数据标准。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④提供整治区域矢量坐标等数据成果。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3、图件成果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①现状图：包括土地利用现状图、耕地分布图、权属现状图等。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②规划图：包括整治分区图、子项目布局图、永久基本农田调整前后对比图等。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③其他相关图件应内容全面、清晰，与文本表述和数据保持一致，比例尺满足整治要素上图要求。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4、附件成果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①相关评审论证意见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②群众意见征询记录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③相关会议纪要、反馈意见及修改说明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④其他支撑材料</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（三）服务期要求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①合同签订一个月内形成方案初稿；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②实施方案需在2026年9月底前报送省自然资源厅。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项目工期以最终主管部门批复意见及项目实际建设条件为准。</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（四）付款方式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方案取得省自然资源厅批复后一次性付清。</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三、服务要求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供应商应组建经验丰富、结构合理的项目团队，明确项目负责人及各阶段分工，确保高质量完成编制任务。团队成员应具备土地规划、城乡规划、测绘、地理信息等相关专业背景。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供应商需积极配合采购人及相关部门工作安排，按时参加成果交流、论证、审查、验收等会议，并对提交成果的完整性、准确性、及时性负责。根据审查意见及时完成修改完善。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项目涉及涉密或敏感信息，供应商须签订保密承诺书，严格遵守相关保密规定，不得泄露项目相关数据及成果内容。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供应商应建立项目沟通协调机制，定期向采购人汇报工作进展，确保项目顺利推进。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常州市政府采购合同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（中小企业预留合同）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1089"/>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 </w:t>
      </w:r>
      <w:r/>
    </w:p>
    <w:p>
      <w:pPr>
        <w:ind w:left="0" w:right="0" w:firstLine="1089"/>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734"/>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6"/>
        </w:rPr>
        <w:t xml:space="preserve">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甲、乙双方根据《中华人民共和国政府采购法》、《中华人民共和国民法典》，按照</w:t>
      </w:r>
      <w:r>
        <w:rPr>
          <w:rFonts w:ascii="SimSun" w:hAnsi="SimSun" w:eastAsia="SimSun" w:cs="SimSun"/>
          <w:color w:val="000000"/>
          <w:sz w:val="24"/>
          <w:u w:val="single"/>
        </w:rPr>
        <w:t xml:space="preserve">西夏墅镇全域土地综合整治方案编制项目[项目编号：               ]</w:t>
      </w:r>
      <w:r>
        <w:rPr>
          <w:rFonts w:ascii="SimSun" w:hAnsi="SimSun" w:eastAsia="SimSun" w:cs="SimSun"/>
          <w:color w:val="000000"/>
          <w:sz w:val="24"/>
        </w:rPr>
        <w:t xml:space="preserve">发出的中标（成交）通知书、采购文件及乙方的响应文件等，按照平等、自愿的原则，经友好协商，签订本合同。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1、项目名称：西夏墅镇全域土地综合整治方案编制项目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内容：为贯彻落实《自然资源部关于学习运用“千万工程”经验深入推进全域土地综合整治工作的意见》（自然资发〔2024〕149号）及江苏省相关工作要求，优化镇域国土空间布局，提升土地利用效率，改善农村人居环境，促进乡村全面振兴和城乡融合发展，现启动西夏墅镇全域土地综合整治实施方案编制工作。实施单元范围为西夏墅镇行政区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3、项目地点：甲方指定地点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4、工作内容：根据本项工作，乙方完成以下几个方面的任务：</w:t>
      </w:r>
      <w:r/>
    </w:p>
    <w:p>
      <w:pPr>
        <w:numPr>
          <w:ilvl w:val="1"/>
          <w:numId w:val="1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二、服务期限、合同金额及付款方式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①合同签订一个月内形成方案初稿；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②实施方案需在2026年9月底前报送省自然资源厅。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项目工期以最终主管部门批复意见及项目实际建设条件为准。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2、付款方式：方案取得省自然资源厅批复后一次性付清合同款。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本合同总金额为人民币大写金额      元（小写金额：     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上述费用甲方支付至乙方指定账户内，该指定账户信息为：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每次支付时，乙方应提前向甲方提供合法有效的经甲方财务部门认可的发票，甲方收到发票后按照上述约定期限付款。乙方向甲方提供发票为本合同乙方主要义务，本条款为合同主要条款。乙方逾期提供发票的，甲方不承担逾期付款责任。(如因国家、省、市、区政策性调整，甲方有权终止合同，乙方应无条件服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如因乙方未能开具真实有效的发票或未提供支付申请而导致甲方延期付款的，责任由乙方承担。若因甲方财政拨款审批程序滞后，甲方不承担逾期付款的违约责任。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三、甲乙双方的权利和义务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因甲方原因造成工作拖延，使乙方不能在合同规定的期限内完成工作的，工作时间顺延，应当给予乙方适当的经济补偿，补偿金额由甲乙双方协商确定。若因乙方原因造成工作拖延时，应向甲方承担相应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编制的调查项目文本著作权归甲乙双方所有，乙方有署名权，乙方对报告和甲方提供的其他资料、信息等予以保密，除因法定事由，未经甲方书面同意，不得向其他任何第三人提供，否则造成甲方损失的，由乙方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3、由于双方事前均不可预测的不可抗力的因素而造成工作不能在合同期限内完成的，工作时间顺延，乙方不承担违约责任。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4、本合同自乙方完成全部的报告编制、上报并获得批复、甲方全部支付合同价款后自动失效。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5、未尽事宜，甲乙双方协商解决，协商后签订的协议书作为本合同的附件，与本合同具有同等法律效力。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四、争议解决办法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因本合同或与本合同有关的一切事项发生争议，由双方友好协商解决。协商不成的，任何一方均可选择以下方式解决：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1、双方达成仲裁协议，向约定的仲裁委员会申请仲裁，本合同约定的仲裁委员会是甲方所在地仲裁委员会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2、向甲方所在地的人民法院起诉。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五、售后服务及承诺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1、服务质量保证期限内完成土地征收成片开发方案编制，确保成果通过有审批职权的自然资源主管部门审查、论证。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2、乙方有完善的服务体系，有能力提供持续的、本地化售后服务。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六、合同生效及其他</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1、合同经双方法定代表人或授权委托代表人签字并加盖单位公章后生效。</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2、本合同正本一式</w:t>
      </w:r>
      <w:r>
        <w:rPr>
          <w:rFonts w:ascii="SimSun" w:hAnsi="SimSun" w:eastAsia="SimSun" w:cs="SimSun"/>
          <w:color w:val="000000"/>
          <w:sz w:val="24"/>
          <w:u w:val="single"/>
        </w:rPr>
        <w:t xml:space="preserve">    </w:t>
      </w:r>
      <w:r>
        <w:rPr>
          <w:rFonts w:ascii="SimSun" w:hAnsi="SimSun" w:eastAsia="SimSun" w:cs="SimSun"/>
          <w:color w:val="000000"/>
          <w:sz w:val="24"/>
        </w:rPr>
        <w:t xml:space="preserve">份，具有同等法律效力，甲方、乙方各执</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0"/>
        <w:gridCol w:w="4819"/>
      </w:tblGrid>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法定代表人（签章）：</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（或授权委托人）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（或授权委托人）</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银行帐号：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银行帐号：</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 </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51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4、实行电子化不见面交易方式的，加盖公章、签名等均通过响应文件编制工具加盖电子公章、签字、签章或印鉴。</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满足《中华人民共和国政府采购法》第二十二条规定及法律法规的其他规定</w:t>
      </w:r>
      <w:r/>
    </w:p>
    <w:p>
      <w:pPr>
        <w:pStyle w:val="662"/>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常州沃成招标有限公司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常州市新北区西夏墅镇人民政府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二、我单位未被“国家企业信用信息公示系统”列入经营异常名录或者严重违法企业名单。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47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落实政府采购政策需满足的资格要求：如有，见第一章《采购邀请》，无则不需要提供。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本项目的特定资格要求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（1）未被“信用中国”网站（www.creditchina.gov.cn）或“中国政府采购网”网站（www.ccgp.gov.cn）列入失信被执行人、重大税收违法案件当事人名单、政府采购严重失信行为记录名单；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（3）供应商须同时具备：①城乡规划（国土空间规划）编制资质证书乙级及以上资质②测绘乙级及以上资质。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  响应函（实质性格式）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我方已详细审查全部磋商文件，自愿参与响应并承诺如下：</w:t>
      </w:r>
      <w:r/>
    </w:p>
    <w:p>
      <w:pPr>
        <w:ind w:left="360" w:right="0" w:firstLine="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（1）本响应有效期为自提交响应文件的截止之日起60个日历日。</w:t>
      </w:r>
      <w:r/>
    </w:p>
    <w:p>
      <w:pPr>
        <w:ind w:left="360" w:right="0" w:firstLine="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电子函件________________________</w:t>
      </w:r>
      <w:r/>
    </w:p>
    <w:p>
      <w:pPr>
        <w:ind w:left="0" w:right="0" w:firstLine="424"/>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供应商法定代表人或代理人（签字或盖章）：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法定代表人资格证明书及授权委托书（实质性格式）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）有效期内的身份证正反面复印件。</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1.若供应商为事业单位或其他组织或分支机构（仅当磋商文件注明允许分支机构响应的），则法定代表人（单位负责人）的签署人可为单位负责人。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w:t>
      </w:r>
      <w:r>
        <w:rPr>
          <w:rFonts w:ascii="SimSun" w:hAnsi="SimSun" w:eastAsia="SimSun" w:cs="SimSun"/>
          <w:color w:val="000000"/>
          <w:sz w:val="24"/>
          <w:u w:val="single"/>
        </w:rPr>
        <w:t xml:space="preserve">                 </w:t>
      </w:r>
      <w:r>
        <w:rPr>
          <w:rFonts w:ascii="SimSun" w:hAnsi="SimSun" w:eastAsia="SimSun" w:cs="SimSun"/>
          <w:color w:val="000000"/>
          <w:sz w:val="24"/>
        </w:rPr>
        <w:t xml:space="preserve">项目投标的合法代理人，全权负责参加本次政府采购项目的投标、签订合约以及与之相关的各项工作。本供应商对代理人的签名负全部责任。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2、委托代理人参加投标时，提供授权委托书和本</w:t>
      </w:r>
      <w:r>
        <w:rPr>
          <w:rFonts w:ascii="SimSun" w:hAnsi="SimSun" w:eastAsia="SimSun" w:cs="SimSun"/>
          <w:color w:val="000000"/>
          <w:sz w:val="28"/>
        </w:rPr>
        <w:t xml:space="preserve">人身份证原件。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20"/>
        <w:gridCol w:w="5517"/>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小写：       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大写：       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分项报价表（非实质性格式）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SimSun" w:hAnsi="SimSun" w:eastAsia="SimSun" w:cs="SimSun"/>
          <w:color w:val="000000"/>
          <w:sz w:val="24"/>
        </w:rPr>
        <w:t xml:space="preserve">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项目名称：西夏墅镇全域土地综合整治方案编制项目       </w:t>
      </w:r>
      <w:r/>
    </w:p>
    <w:p>
      <w:pPr>
        <w:ind w:left="-1" w:right="0" w:hanging="1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供应商根据工作内容自拟</w:t>
      </w:r>
      <w:r>
        <w:rPr>
          <w:rFonts w:ascii="SimSun" w:hAnsi="SimSun" w:eastAsia="SimSun" w:cs="SimSun"/>
          <w:color w:val="000000"/>
          <w:sz w:val="24"/>
        </w:rPr>
        <w:t xml:space="preserve">。</w:t>
      </w:r>
      <w:r/>
    </w:p>
    <w:p>
      <w:pPr>
        <w:ind w:left="-1" w:right="0" w:hanging="1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项目名称：西夏墅镇全域土地综合整治方案编制项目</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54"/>
        <w:gridCol w:w="1780"/>
        <w:gridCol w:w="1781"/>
        <w:gridCol w:w="2180"/>
        <w:gridCol w:w="1721"/>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项目编号：_____________________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项目名称：西夏墅镇全域土地综合整治方案编制项目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1282"/>
        <w:gridCol w:w="2002"/>
        <w:gridCol w:w="1790"/>
        <w:gridCol w:w="1626"/>
        <w:gridCol w:w="873"/>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请各位供应商按照以上表格形式逐项应答配置要求内容，在偏离值一栏内如实填写“无偏离、正偏离或负偏离”。此表中若无任何文字说明，内容为空白，则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2）中小企业认定标准以《关于印发中小企业划型标准规定的通知》（工信部联企业〔2011〕300号）文件规定为准。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18" w:tooltip="http://202.106.120.146/baosong/appweb/orgScale.html" w:history="1">
        <w:r>
          <w:rPr>
            <w:rStyle w:val="818"/>
            <w:rFonts w:ascii="SimSun" w:hAnsi="SimSun" w:eastAsia="SimSun" w:cs="SimSu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5）小微企业未提供声明函的，价格分评审将不予价格扣除。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w:t>
      </w:r>
      <w:r>
        <w:rPr>
          <w:rFonts w:ascii="SimSun" w:hAnsi="SimSun" w:eastAsia="SimSun" w:cs="SimSu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SimSun" w:hAnsi="SimSun" w:eastAsia="SimSun" w:cs="SimSu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单位名称（加盖公章）：</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713"/>
        <w:gridCol w:w="713"/>
        <w:gridCol w:w="713"/>
        <w:gridCol w:w="713"/>
        <w:gridCol w:w="713"/>
        <w:gridCol w:w="713"/>
        <w:gridCol w:w="713"/>
        <w:gridCol w:w="713"/>
        <w:gridCol w:w="7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15.1法人或者其他组织的营业执照等证明文件（复印件加盖公章；供应商是自然人的，提供自然人身份证明复印件加盖公章）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Wingdings 2">
    <w:panose1 w:val="05020102010507070707"/>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3">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5">
    <w:multiLevelType w:val="hybridMultilevel"/>
    <w:lvl w:ilvl="0">
      <w:start w:val="1"/>
      <w:numFmt w:val="decimal"/>
      <w:isLgl w:val="false"/>
      <w:suff w:val="tab"/>
      <w:lvlText w:val="%1　"/>
      <w:lvlJc w:val="left"/>
      <w:pPr>
        <w:ind w:left="-25" w:firstLine="0"/>
      </w:pPr>
      <w:rPr>
        <w:sz w:val="28"/>
      </w:rPr>
    </w:lvl>
    <w:lvl w:ilvl="1">
      <w:start w:val="1"/>
      <w:numFmt w:val="decimal"/>
      <w:isLgl w:val="false"/>
      <w:suff w:val="tab"/>
      <w:lvlText w:val="%1.%2　"/>
      <w:lvlJc w:val="left"/>
      <w:pPr>
        <w:ind w:left="-25" w:firstLine="0"/>
      </w:pPr>
      <w:rPr>
        <w:spacing w:val="0"/>
        <w:sz w:val="28"/>
      </w:rPr>
    </w:lvl>
    <w:lvl w:ilvl="2">
      <w:start w:val="1"/>
      <w:numFmt w:val="decimal"/>
      <w:isLgl w:val="false"/>
      <w:suff w:val="tab"/>
      <w:lvlText w:val="%1.%2.%3　"/>
      <w:lvlJc w:val="left"/>
      <w:pPr>
        <w:ind w:left="-25" w:firstLine="0"/>
      </w:pPr>
      <w:rPr>
        <w:sz w:val="28"/>
      </w:rPr>
    </w:lvl>
    <w:lvl w:ilvl="3">
      <w:start w:val="1"/>
      <w:numFmt w:val="decimal"/>
      <w:isLgl w:val="false"/>
      <w:suff w:val="tab"/>
      <w:lvlText w:val="%1.%2.%3.%4　"/>
      <w:lvlJc w:val="left"/>
      <w:pPr>
        <w:ind w:left="-25" w:firstLine="0"/>
      </w:pPr>
      <w:rPr>
        <w:sz w:val="28"/>
      </w:rPr>
    </w:lvl>
    <w:lvl w:ilvl="4">
      <w:start w:val="1"/>
      <w:numFmt w:val="decimal"/>
      <w:isLgl w:val="false"/>
      <w:suff w:val="tab"/>
      <w:lvlText w:val="%1.%2.%3.%4.%5　"/>
      <w:lvlJc w:val="left"/>
      <w:pPr>
        <w:ind w:left="-25" w:firstLine="0"/>
      </w:pPr>
      <w:rPr>
        <w:sz w:val="28"/>
      </w:rPr>
    </w:lvl>
    <w:lvl w:ilvl="5">
      <w:start w:val="1"/>
      <w:numFmt w:val="decimal"/>
      <w:isLgl w:val="false"/>
      <w:suff w:val="tab"/>
      <w:lvlText w:val="%1.%2.%3.%4.%5.%6　"/>
      <w:lvlJc w:val="left"/>
      <w:pPr>
        <w:ind w:left="-25" w:firstLine="0"/>
      </w:pPr>
      <w:rPr>
        <w:sz w:val="28"/>
      </w:rPr>
    </w:lvl>
    <w:lvl w:ilvl="6">
      <w:start w:val="1"/>
      <w:numFmt w:val="lowerLetter"/>
      <w:isLgl w:val="false"/>
      <w:suff w:val="tab"/>
      <w:lvlText w:val="%7) "/>
      <w:lvlJc w:val="left"/>
      <w:pPr>
        <w:ind w:left="-125" w:firstLine="400"/>
      </w:pPr>
      <w:rPr>
        <w:sz w:val="28"/>
      </w:rPr>
    </w:lvl>
    <w:lvl w:ilvl="7">
      <w:start w:val="1"/>
      <w:numFmt w:val="decimal"/>
      <w:isLgl w:val="false"/>
      <w:suff w:val="tab"/>
      <w:lvlText w:val="%8) "/>
      <w:lvlJc w:val="left"/>
      <w:pPr>
        <w:ind w:left="500" w:firstLine="0"/>
      </w:pPr>
      <w:rPr>
        <w:sz w:val="28"/>
      </w:rPr>
    </w:lvl>
    <w:lvl w:ilvl="8">
      <w:start w:val="1"/>
      <w:numFmt w:val="none"/>
      <w:isLgl w:val="false"/>
      <w:suff w:val="tab"/>
      <w:lvlText w:val="%9"/>
      <w:lvlJc w:val="left"/>
      <w:pPr>
        <w:ind w:left="500" w:firstLine="0"/>
      </w:pPr>
      <w:rPr>
        <w:rFonts w:ascii="SimSun" w:hAnsi="SimSun" w:eastAsia="SimSun" w:cs="SimSun"/>
        <w:sz w:val="28"/>
      </w:rPr>
    </w:lvl>
  </w:abstractNum>
  <w:abstractNum w:abstractNumId="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9">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1">
    <w:multiLevelType w:val="hybridMultilevel"/>
    <w:lvl w:ilvl="0">
      <w:start w:val="1"/>
      <w:numFmt w:val="decimal"/>
      <w:isLgl w:val="false"/>
      <w:suff w:val="tab"/>
      <w:lvlText w:val="%1　"/>
      <w:lvlJc w:val="left"/>
      <w:pPr>
        <w:ind w:left="-25" w:firstLine="0"/>
      </w:pPr>
      <w:rPr>
        <w:sz w:val="28"/>
      </w:rPr>
    </w:lvl>
    <w:lvl w:ilvl="1">
      <w:start w:val="1"/>
      <w:numFmt w:val="decimal"/>
      <w:isLgl w:val="false"/>
      <w:suff w:val="tab"/>
      <w:lvlText w:val="%1.%2　"/>
      <w:lvlJc w:val="left"/>
      <w:pPr>
        <w:ind w:left="-25" w:firstLine="0"/>
      </w:pPr>
      <w:rPr>
        <w:spacing w:val="0"/>
        <w:sz w:val="28"/>
      </w:rPr>
    </w:lvl>
    <w:lvl w:ilvl="2">
      <w:start w:val="1"/>
      <w:numFmt w:val="decimal"/>
      <w:isLgl w:val="false"/>
      <w:suff w:val="tab"/>
      <w:lvlText w:val="%1.%2.%3　"/>
      <w:lvlJc w:val="left"/>
      <w:pPr>
        <w:ind w:left="-25" w:firstLine="0"/>
      </w:pPr>
      <w:rPr>
        <w:sz w:val="28"/>
      </w:rPr>
    </w:lvl>
    <w:lvl w:ilvl="3">
      <w:start w:val="1"/>
      <w:numFmt w:val="decimal"/>
      <w:isLgl w:val="false"/>
      <w:suff w:val="tab"/>
      <w:lvlText w:val="%1.%2.%3.%4　"/>
      <w:lvlJc w:val="left"/>
      <w:pPr>
        <w:ind w:left="-25" w:firstLine="0"/>
      </w:pPr>
      <w:rPr>
        <w:sz w:val="28"/>
      </w:rPr>
    </w:lvl>
    <w:lvl w:ilvl="4">
      <w:start w:val="1"/>
      <w:numFmt w:val="decimal"/>
      <w:isLgl w:val="false"/>
      <w:suff w:val="tab"/>
      <w:lvlText w:val="%1.%2.%3.%4.%5　"/>
      <w:lvlJc w:val="left"/>
      <w:pPr>
        <w:ind w:left="-25" w:firstLine="0"/>
      </w:pPr>
      <w:rPr>
        <w:sz w:val="28"/>
      </w:rPr>
    </w:lvl>
    <w:lvl w:ilvl="5">
      <w:start w:val="1"/>
      <w:numFmt w:val="decimal"/>
      <w:isLgl w:val="false"/>
      <w:suff w:val="tab"/>
      <w:lvlText w:val="%1.%2.%3.%4.%5.%6　"/>
      <w:lvlJc w:val="left"/>
      <w:pPr>
        <w:ind w:left="-25" w:firstLine="0"/>
      </w:pPr>
      <w:rPr>
        <w:sz w:val="28"/>
      </w:rPr>
    </w:lvl>
    <w:lvl w:ilvl="6">
      <w:start w:val="1"/>
      <w:numFmt w:val="lowerLetter"/>
      <w:isLgl w:val="false"/>
      <w:suff w:val="tab"/>
      <w:lvlText w:val="%7) "/>
      <w:lvlJc w:val="left"/>
      <w:pPr>
        <w:ind w:left="-125" w:firstLine="400"/>
      </w:pPr>
      <w:rPr>
        <w:sz w:val="28"/>
      </w:rPr>
    </w:lvl>
    <w:lvl w:ilvl="7">
      <w:start w:val="1"/>
      <w:numFmt w:val="decimal"/>
      <w:isLgl w:val="false"/>
      <w:suff w:val="tab"/>
      <w:lvlText w:val="%8) "/>
      <w:lvlJc w:val="left"/>
      <w:pPr>
        <w:ind w:left="500" w:firstLine="0"/>
      </w:pPr>
      <w:rPr>
        <w:sz w:val="28"/>
      </w:rPr>
    </w:lvl>
    <w:lvl w:ilvl="8">
      <w:start w:val="1"/>
      <w:numFmt w:val="none"/>
      <w:isLgl w:val="false"/>
      <w:suff w:val="tab"/>
      <w:lvlText w:val="%9"/>
      <w:lvlJc w:val="left"/>
      <w:pPr>
        <w:ind w:left="500" w:firstLine="0"/>
      </w:pPr>
      <w:rPr>
        <w:rFonts w:ascii="SimSun" w:hAnsi="SimSun" w:eastAsia="SimSun" w:cs="SimSun"/>
        <w:sz w:val="28"/>
      </w:rPr>
    </w:lvl>
  </w:abstractNum>
  <w:abstractNum w:abstractNumId="1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5">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6">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7">
    <w:multiLevelType w:val="hybridMultilevel"/>
    <w:lvl w:ilvl="0">
      <w:start w:val="1"/>
      <w:numFmt w:val="decimal"/>
      <w:isLgl w:val="false"/>
      <w:suff w:val="tab"/>
      <w:lvlText w:val="%1　"/>
      <w:lvlJc w:val="left"/>
      <w:pPr>
        <w:ind w:left="-25" w:firstLine="0"/>
      </w:pPr>
      <w:rPr>
        <w:sz w:val="28"/>
      </w:rPr>
    </w:lvl>
    <w:lvl w:ilvl="1">
      <w:start w:val="1"/>
      <w:numFmt w:val="decimal"/>
      <w:isLgl w:val="false"/>
      <w:suff w:val="tab"/>
      <w:lvlText w:val="%1.%2　"/>
      <w:lvlJc w:val="left"/>
      <w:pPr>
        <w:ind w:left="-25" w:firstLine="0"/>
      </w:pPr>
      <w:rPr>
        <w:spacing w:val="0"/>
        <w:sz w:val="28"/>
      </w:rPr>
    </w:lvl>
    <w:lvl w:ilvl="2">
      <w:start w:val="1"/>
      <w:numFmt w:val="decimal"/>
      <w:isLgl w:val="false"/>
      <w:suff w:val="tab"/>
      <w:lvlText w:val="%1.%2.%3　"/>
      <w:lvlJc w:val="left"/>
      <w:pPr>
        <w:ind w:left="-25" w:firstLine="0"/>
      </w:pPr>
      <w:rPr>
        <w:sz w:val="28"/>
      </w:rPr>
    </w:lvl>
    <w:lvl w:ilvl="3">
      <w:start w:val="1"/>
      <w:numFmt w:val="decimal"/>
      <w:isLgl w:val="false"/>
      <w:suff w:val="tab"/>
      <w:lvlText w:val="%1.%2.%3.%4　"/>
      <w:lvlJc w:val="left"/>
      <w:pPr>
        <w:ind w:left="-25" w:firstLine="0"/>
      </w:pPr>
      <w:rPr>
        <w:sz w:val="28"/>
      </w:rPr>
    </w:lvl>
    <w:lvl w:ilvl="4">
      <w:start w:val="1"/>
      <w:numFmt w:val="decimal"/>
      <w:isLgl w:val="false"/>
      <w:suff w:val="tab"/>
      <w:lvlText w:val="%1.%2.%3.%4.%5　"/>
      <w:lvlJc w:val="left"/>
      <w:pPr>
        <w:ind w:left="-25" w:firstLine="0"/>
      </w:pPr>
      <w:rPr>
        <w:sz w:val="28"/>
      </w:rPr>
    </w:lvl>
    <w:lvl w:ilvl="5">
      <w:start w:val="1"/>
      <w:numFmt w:val="decimal"/>
      <w:isLgl w:val="false"/>
      <w:suff w:val="tab"/>
      <w:lvlText w:val="%1.%2.%3.%4.%5.%6　"/>
      <w:lvlJc w:val="left"/>
      <w:pPr>
        <w:ind w:left="-25" w:firstLine="0"/>
      </w:pPr>
      <w:rPr>
        <w:sz w:val="28"/>
      </w:rPr>
    </w:lvl>
    <w:lvl w:ilvl="6">
      <w:start w:val="1"/>
      <w:numFmt w:val="lowerLetter"/>
      <w:isLgl w:val="false"/>
      <w:suff w:val="tab"/>
      <w:lvlText w:val="%7) "/>
      <w:lvlJc w:val="left"/>
      <w:pPr>
        <w:ind w:left="-125" w:firstLine="400"/>
      </w:pPr>
      <w:rPr>
        <w:sz w:val="28"/>
      </w:rPr>
    </w:lvl>
    <w:lvl w:ilvl="7">
      <w:start w:val="1"/>
      <w:numFmt w:val="decimal"/>
      <w:isLgl w:val="false"/>
      <w:suff w:val="tab"/>
      <w:lvlText w:val="%8) "/>
      <w:lvlJc w:val="left"/>
      <w:pPr>
        <w:ind w:left="500" w:firstLine="0"/>
      </w:pPr>
      <w:rPr>
        <w:sz w:val="28"/>
      </w:rPr>
    </w:lvl>
    <w:lvl w:ilvl="8">
      <w:start w:val="1"/>
      <w:numFmt w:val="none"/>
      <w:isLgl w:val="false"/>
      <w:suff w:val="tab"/>
      <w:lvlText w:val="%9"/>
      <w:lvlJc w:val="left"/>
      <w:pPr>
        <w:ind w:left="500" w:firstLine="0"/>
      </w:pPr>
      <w:rPr>
        <w:rFonts w:ascii="SimSun" w:hAnsi="SimSun" w:eastAsia="SimSun" w:cs="SimSun"/>
        <w:sz w:val="28"/>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uiPriority w:val="34"/>
    <w:qFormat/>
    <w:pPr>
      <w:contextualSpacing/>
      <w:ind w:left="720"/>
    </w:pPr>
  </w:style>
  <w:style w:type="paragraph" w:styleId="677">
    <w:name w:val="No Spacing"/>
    <w:uiPriority w:val="1"/>
    <w:qFormat/>
    <w:pPr>
      <w:spacing w:before="0" w:after="0" w:line="240" w:lineRule="auto"/>
    </w:pPr>
  </w:style>
  <w:style w:type="paragraph" w:styleId="678">
    <w:name w:val="Title"/>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link w:val="683"/>
    <w:uiPriority w:val="29"/>
    <w:qFormat/>
    <w:pPr>
      <w:ind w:left="720" w:right="720"/>
    </w:pPr>
    <w:rPr>
      <w:i/>
    </w:rPr>
  </w:style>
  <w:style w:type="character" w:styleId="683">
    <w:name w:val="Quote Char"/>
    <w:link w:val="682"/>
    <w:uiPriority w:val="29"/>
    <w:rPr>
      <w:i/>
    </w:rPr>
  </w:style>
  <w:style w:type="paragraph" w:styleId="684">
    <w:name w:val="Intense Quote"/>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uiPriority w:val="39"/>
    <w:unhideWhenUsed/>
    <w:pPr>
      <w:ind w:left="0" w:right="0" w:firstLine="0"/>
      <w:spacing w:after="57"/>
    </w:pPr>
  </w:style>
  <w:style w:type="paragraph" w:styleId="826">
    <w:name w:val="toc 2"/>
    <w:uiPriority w:val="39"/>
    <w:unhideWhenUsed/>
    <w:pPr>
      <w:ind w:left="283" w:right="0" w:firstLine="0"/>
      <w:spacing w:after="57"/>
    </w:pPr>
  </w:style>
  <w:style w:type="paragraph" w:styleId="827">
    <w:name w:val="toc 3"/>
    <w:uiPriority w:val="39"/>
    <w:unhideWhenUsed/>
    <w:pPr>
      <w:ind w:left="567" w:right="0" w:firstLine="0"/>
      <w:spacing w:after="57"/>
    </w:pPr>
  </w:style>
  <w:style w:type="paragraph" w:styleId="828">
    <w:name w:val="toc 4"/>
    <w:uiPriority w:val="39"/>
    <w:unhideWhenUsed/>
    <w:pPr>
      <w:ind w:left="850" w:right="0" w:firstLine="0"/>
      <w:spacing w:after="57"/>
    </w:pPr>
  </w:style>
  <w:style w:type="paragraph" w:styleId="829">
    <w:name w:val="toc 5"/>
    <w:uiPriority w:val="39"/>
    <w:unhideWhenUsed/>
    <w:pPr>
      <w:ind w:left="1134" w:right="0" w:firstLine="0"/>
      <w:spacing w:after="57"/>
    </w:pPr>
  </w:style>
  <w:style w:type="paragraph" w:styleId="830">
    <w:name w:val="toc 6"/>
    <w:uiPriority w:val="39"/>
    <w:unhideWhenUsed/>
    <w:pPr>
      <w:ind w:left="1417" w:right="0" w:firstLine="0"/>
      <w:spacing w:after="57"/>
    </w:pPr>
  </w:style>
  <w:style w:type="paragraph" w:styleId="831">
    <w:name w:val="toc 7"/>
    <w:uiPriority w:val="39"/>
    <w:unhideWhenUsed/>
    <w:pPr>
      <w:ind w:left="1701" w:right="0" w:firstLine="0"/>
      <w:spacing w:after="57"/>
    </w:pPr>
  </w:style>
  <w:style w:type="paragraph" w:styleId="832">
    <w:name w:val="toc 8"/>
    <w:uiPriority w:val="39"/>
    <w:unhideWhenUsed/>
    <w:pPr>
      <w:ind w:left="1984" w:right="0" w:firstLine="0"/>
      <w:spacing w:after="57"/>
    </w:pPr>
  </w:style>
  <w:style w:type="paragraph" w:styleId="833">
    <w:name w:val="toc 9"/>
    <w:uiPriority w:val="39"/>
    <w:unhideWhenUsed/>
    <w:pPr>
      <w:ind w:left="2268" w:right="0" w:firstLine="0"/>
      <w:spacing w:after="57"/>
    </w:pPr>
  </w:style>
  <w:style w:type="paragraph" w:styleId="834">
    <w:name w:val="TOC Heading"/>
    <w:uiPriority w:val="39"/>
    <w:unhideWhenUsed/>
  </w:style>
  <w:style w:type="paragraph" w:styleId="835">
    <w:name w:val="table of figures"/>
    <w:uiPriority w:val="99"/>
    <w:unhideWhenUsed/>
    <w:pPr>
      <w:spacing w:after="0" w:afterAutospacing="0"/>
    </w:pPr>
  </w:style>
  <w:style w:type="character" w:styleId="836" w:default="1">
    <w:name w:val="Default Paragraph Font"/>
    <w:uiPriority w:val="1"/>
    <w:semiHidden/>
    <w:unhideWhenUsed/>
  </w:style>
  <w:style w:type="numbering" w:styleId="837" w:default="1">
    <w:name w:val="No List"/>
    <w:uiPriority w:val="99"/>
    <w:semiHidden/>
    <w:unhideWhenUsed/>
  </w:style>
  <w:style w:type="paragraph" w:styleId="838" w:default="1">
    <w:name w:val="Normal"/>
    <w:qFormat/>
  </w:style>
  <w:style w:type="table" w:styleId="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30" TargetMode="External"/><Relationship Id="rId15" Type="http://schemas.openxmlformats.org/officeDocument/2006/relationships/hyperlink" Target="mailto:804311530@qq.com.%EF%BC%88%EF%BC%89" TargetMode="External"/><Relationship Id="rId16" Type="http://schemas.openxmlformats.org/officeDocument/2006/relationships/hyperlink" Target="http://www.ccgp-jiangsu.gov.cn/jiangsu/zlxz/ee/ee3a4bc5a3454aa2b0d9312230633ce9.html%E3%80%82" TargetMode="External"/><Relationship Id="rId17" Type="http://schemas.openxmlformats.org/officeDocument/2006/relationships/hyperlink" Target="http://gks.mof.gov.cn/ztztz/zhengfucaigouguanli/201802/t20180201_2804589.htm" TargetMode="External"/><Relationship Id="rId18"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2</cp:revision>
  <dcterms:created xsi:type="dcterms:W3CDTF">2026-04-01T02:14:13Z</dcterms:created>
  <dcterms:modified xsi:type="dcterms:W3CDTF">2026-04-01T06:18:27Z</dcterms:modified>
</cp:coreProperties>
</file>